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85"/>
        <w:spacing w:before="135" w:line="223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color w:val="FF0000"/>
          <w:spacing w:val="5"/>
        </w:rPr>
        <w:t>教育部职业院校外语类专业教学指导委员会</w:t>
      </w:r>
    </w:p>
    <w:p>
      <w:pPr>
        <w:spacing w:before="157" w:line="60" w:lineRule="exact"/>
        <w:rPr/>
      </w:pPr>
      <w:r>
        <w:rPr>
          <w:position w:val="-1"/>
        </w:rPr>
        <w:pict>
          <v:shape id="_x0000_s2" style="mso-position-vertical-relative:line;mso-position-horizontal-relative:char;width:472.3pt;height:3pt;" filled="false" strokecolor="#FF0000" strokeweight="3.00pt" coordsize="9445,60" coordorigin="0,0" path="m0,30l9445,30e">
            <v:stroke miterlimit="10"/>
          </v:shape>
        </w:pic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ind w:left="302"/>
        <w:spacing w:before="184" w:line="183" w:lineRule="auto"/>
        <w:outlineLvl w:val="0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6"/>
        </w:rPr>
        <w:t>关于开展 2025 年度职业外语教育高质量发展</w:t>
      </w:r>
    </w:p>
    <w:p>
      <w:pPr>
        <w:ind w:left="2245"/>
        <w:spacing w:line="197" w:lineRule="auto"/>
        <w:outlineLvl w:val="0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9"/>
        </w:rPr>
        <w:t>研究课题申报工作的通知</w:t>
      </w:r>
    </w:p>
    <w:p>
      <w:pPr>
        <w:ind w:left="5827"/>
        <w:spacing w:before="82" w:line="194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spacing w:val="-3"/>
        </w:rPr>
        <w:t>外语教指委〔2025〕</w:t>
      </w:r>
      <w:r>
        <w:rPr>
          <w:rFonts w:ascii="Microsoft YaHei" w:hAnsi="Microsoft YaHei" w:eastAsia="Microsoft YaHei" w:cs="Microsoft YaHei"/>
          <w:sz w:val="28"/>
          <w:szCs w:val="28"/>
          <w:spacing w:val="-49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3"/>
        </w:rPr>
        <w:t>5 号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ind w:left="239"/>
        <w:spacing w:before="133" w:line="198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7"/>
        </w:rPr>
        <w:t>各职业院校：</w:t>
      </w:r>
    </w:p>
    <w:p>
      <w:pPr>
        <w:pStyle w:val="BodyText"/>
        <w:ind w:left="257" w:right="407" w:firstLine="653"/>
        <w:spacing w:before="98" w:line="334" w:lineRule="auto"/>
        <w:jc w:val="both"/>
        <w:rPr/>
      </w:pPr>
      <w:r>
        <w:rPr>
          <w:spacing w:val="8"/>
        </w:rPr>
        <w:t>为深入贯彻习近平总书记关于职业教育的重要指示和全国</w:t>
      </w:r>
      <w:r>
        <w:rPr>
          <w:spacing w:val="8"/>
        </w:rPr>
        <w:t>职业教育大会精神，落实《教育强国建设规划纲要（2024-20</w:t>
      </w:r>
      <w:r>
        <w:rPr>
          <w:spacing w:val="7"/>
        </w:rPr>
        <w:t>35</w:t>
      </w:r>
      <w:r>
        <w:rPr>
          <w:spacing w:val="9"/>
        </w:rPr>
        <w:t>年）》《关于推动现代职业教育高质量发展的意见》等文件要</w:t>
      </w:r>
      <w:r>
        <w:rPr>
          <w:spacing w:val="9"/>
        </w:rPr>
        <w:t>求，加快构建现代职业教育体系，强化类型特色，深化产教融</w:t>
      </w:r>
      <w:r>
        <w:rPr>
          <w:spacing w:val="9"/>
        </w:rPr>
        <w:t>合，培养德技并修的高素质国际化技能人才，教育部职业院校</w:t>
      </w:r>
      <w:r>
        <w:rPr>
          <w:spacing w:val="7"/>
        </w:rPr>
        <w:t>外语类专业教学指导委员会（以下简称“外语教指委</w:t>
      </w:r>
      <w:r>
        <w:rPr>
          <w:spacing w:val="-99"/>
        </w:rPr>
        <w:t xml:space="preserve"> </w:t>
      </w:r>
      <w:r>
        <w:rPr>
          <w:spacing w:val="7"/>
        </w:rPr>
        <w:t>”）决定</w:t>
      </w:r>
      <w:r>
        <w:rPr>
          <w:spacing w:val="7"/>
        </w:rPr>
        <w:t>设立“2025</w:t>
      </w:r>
      <w:r>
        <w:rPr>
          <w:spacing w:val="-34"/>
        </w:rPr>
        <w:t xml:space="preserve"> </w:t>
      </w:r>
      <w:r>
        <w:rPr>
          <w:spacing w:val="7"/>
        </w:rPr>
        <w:t>年度职业外语教育高质量发展研究课题”。课题由</w:t>
      </w:r>
      <w:r>
        <w:rPr>
          <w:spacing w:val="9"/>
        </w:rPr>
        <w:t>外语教指委和上海外语教育出版社（以下简称“外教社”）共</w:t>
      </w:r>
      <w:r>
        <w:rPr>
          <w:spacing w:val="4"/>
        </w:rPr>
        <w:t>同组织实施。现将有关事项通知如下：</w:t>
      </w:r>
    </w:p>
    <w:p>
      <w:pPr>
        <w:ind w:left="895"/>
        <w:spacing w:before="1" w:line="224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3"/>
        </w:rPr>
        <w:t>一、选题要求</w:t>
      </w:r>
    </w:p>
    <w:p>
      <w:pPr>
        <w:pStyle w:val="BodyText"/>
        <w:ind w:left="898"/>
        <w:spacing w:before="183" w:line="221" w:lineRule="auto"/>
        <w:rPr/>
      </w:pPr>
      <w:r>
        <w:rPr>
          <w:spacing w:val="9"/>
        </w:rPr>
        <w:t>职业外语教育高质量发展研究应坚持立德树人、</w:t>
      </w:r>
      <w:r>
        <w:rPr>
          <w:spacing w:val="8"/>
        </w:rPr>
        <w:t>德技并</w:t>
      </w:r>
    </w:p>
    <w:p>
      <w:pPr>
        <w:pStyle w:val="BodyText"/>
        <w:ind w:left="257" w:right="573"/>
        <w:spacing w:before="194" w:line="333" w:lineRule="auto"/>
        <w:rPr/>
      </w:pPr>
      <w:r>
        <w:rPr>
          <w:spacing w:val="9"/>
        </w:rPr>
        <w:t>修，致力于培养高素质国际化技能人才。研究需紧密对接国家</w:t>
      </w:r>
      <w:r>
        <w:rPr>
          <w:spacing w:val="9"/>
        </w:rPr>
        <w:t>战略和产业需求，深化产教融合，强化校企合作，确保标准落</w:t>
      </w:r>
      <w:r>
        <w:rPr>
          <w:spacing w:val="9"/>
        </w:rPr>
        <w:t>地与课程建设的高质量推进。同时，积极探索数字化转型以创</w:t>
      </w:r>
      <w:r>
        <w:rPr>
          <w:spacing w:val="9"/>
        </w:rPr>
        <w:t>新教学模式，加强教师职业发展和科研能力提升，完善评价体</w:t>
      </w:r>
      <w:r>
        <w:rPr>
          <w:spacing w:val="9"/>
        </w:rPr>
        <w:t>系。此外，推动职业教育“出海”，提升国际化水平，探索职</w:t>
      </w:r>
      <w:r>
        <w:rPr>
          <w:spacing w:val="9"/>
        </w:rPr>
        <w:t>业外语教育与普通教育的融通发展，构建贯通培养体系，促进</w:t>
      </w:r>
    </w:p>
    <w:p>
      <w:pPr>
        <w:spacing w:line="333" w:lineRule="auto"/>
        <w:sectPr>
          <w:footerReference w:type="default" r:id="rId1"/>
          <w:pgSz w:w="11907" w:h="16839"/>
          <w:pgMar w:top="1431" w:right="1166" w:bottom="1142" w:left="1293" w:header="0" w:footer="826" w:gutter="0"/>
        </w:sectPr>
        <w:rPr/>
      </w:pPr>
    </w:p>
    <w:p>
      <w:pPr>
        <w:pStyle w:val="BodyText"/>
        <w:spacing w:before="216" w:line="224" w:lineRule="auto"/>
        <w:rPr/>
      </w:pPr>
      <w:r>
        <w:rPr>
          <w:spacing w:val="4"/>
        </w:rPr>
        <w:t>教育体系现代化。具体研究方向如下：</w:t>
      </w:r>
    </w:p>
    <w:p>
      <w:pPr>
        <w:pStyle w:val="BodyText"/>
        <w:ind w:left="655"/>
        <w:spacing w:before="183" w:line="224" w:lineRule="auto"/>
        <w:rPr/>
      </w:pPr>
      <w:r>
        <w:rPr>
          <w:spacing w:val="6"/>
        </w:rPr>
        <w:t>1.职业外语教育改革与发展研究</w:t>
      </w:r>
    </w:p>
    <w:p>
      <w:pPr>
        <w:pStyle w:val="BodyText"/>
        <w:ind w:left="635"/>
        <w:spacing w:before="185" w:line="224" w:lineRule="auto"/>
        <w:rPr/>
      </w:pPr>
      <w:r>
        <w:rPr>
          <w:spacing w:val="8"/>
        </w:rPr>
        <w:t>2.职业外语教育与现代职业教育体系构建研究</w:t>
      </w:r>
    </w:p>
    <w:p>
      <w:pPr>
        <w:pStyle w:val="BodyText"/>
        <w:ind w:left="638"/>
        <w:spacing w:before="183" w:line="223" w:lineRule="auto"/>
        <w:rPr/>
      </w:pPr>
      <w:r>
        <w:rPr>
          <w:spacing w:val="8"/>
        </w:rPr>
        <w:t>3.职业外语教育课程标准落地实施路径研究</w:t>
      </w:r>
    </w:p>
    <w:p>
      <w:pPr>
        <w:pStyle w:val="BodyText"/>
        <w:ind w:left="630"/>
        <w:spacing w:before="184" w:line="224" w:lineRule="auto"/>
        <w:rPr/>
      </w:pPr>
      <w:r>
        <w:rPr>
          <w:spacing w:val="8"/>
        </w:rPr>
        <w:t>4.职业外语教育产教融合模式创新与实践探索</w:t>
      </w:r>
    </w:p>
    <w:p>
      <w:pPr>
        <w:pStyle w:val="BodyText"/>
        <w:ind w:left="638"/>
        <w:spacing w:before="185" w:line="224" w:lineRule="auto"/>
        <w:rPr/>
      </w:pPr>
      <w:r>
        <w:rPr>
          <w:spacing w:val="8"/>
        </w:rPr>
        <w:t>5.职业外语教育推动“新双高”建设路径研究</w:t>
      </w:r>
    </w:p>
    <w:p>
      <w:pPr>
        <w:pStyle w:val="BodyText"/>
        <w:ind w:left="634"/>
        <w:spacing w:before="184" w:line="221" w:lineRule="auto"/>
        <w:rPr/>
      </w:pPr>
      <w:r>
        <w:rPr>
          <w:spacing w:val="6"/>
        </w:rPr>
        <w:t>6.</w:t>
      </w:r>
      <w:r>
        <w:rPr>
          <w:spacing w:val="-86"/>
        </w:rPr>
        <w:t xml:space="preserve"> </w:t>
      </w:r>
      <w:r>
        <w:rPr>
          <w:spacing w:val="6"/>
        </w:rPr>
        <w:t>“岗课赛证”综合育人模式在外语教育中的应用研究</w:t>
      </w:r>
    </w:p>
    <w:p>
      <w:pPr>
        <w:pStyle w:val="BodyText"/>
        <w:ind w:left="639"/>
        <w:spacing w:before="188" w:line="223" w:lineRule="auto"/>
        <w:rPr/>
      </w:pPr>
      <w:r>
        <w:rPr>
          <w:spacing w:val="8"/>
        </w:rPr>
        <w:t>7.职业外语教育课程思政建设路径研究</w:t>
      </w:r>
    </w:p>
    <w:p>
      <w:pPr>
        <w:pStyle w:val="BodyText"/>
        <w:ind w:left="633"/>
        <w:spacing w:before="188" w:line="222" w:lineRule="auto"/>
        <w:rPr/>
      </w:pPr>
      <w:r>
        <w:rPr>
          <w:spacing w:val="8"/>
        </w:rPr>
        <w:t>8.职业外语教育贯通培养模式创新研究</w:t>
      </w:r>
    </w:p>
    <w:p>
      <w:pPr>
        <w:pStyle w:val="BodyText"/>
        <w:ind w:left="633"/>
        <w:spacing w:before="186" w:line="223" w:lineRule="auto"/>
        <w:rPr/>
      </w:pPr>
      <w:r>
        <w:rPr>
          <w:spacing w:val="8"/>
        </w:rPr>
        <w:t>9.职业外语教育与普通教育融通发展机制研究</w:t>
      </w:r>
    </w:p>
    <w:p>
      <w:pPr>
        <w:pStyle w:val="BodyText"/>
        <w:ind w:left="655"/>
        <w:spacing w:before="185" w:line="221" w:lineRule="auto"/>
        <w:rPr/>
      </w:pPr>
      <w:r>
        <w:rPr>
          <w:spacing w:val="7"/>
        </w:rPr>
        <w:t>10.职业外语教育服务“一带一路”倡议的策略研究</w:t>
      </w:r>
    </w:p>
    <w:p>
      <w:pPr>
        <w:pStyle w:val="BodyText"/>
        <w:ind w:left="655"/>
        <w:spacing w:before="189" w:line="224" w:lineRule="auto"/>
        <w:rPr/>
      </w:pPr>
      <w:r>
        <w:rPr>
          <w:spacing w:val="7"/>
        </w:rPr>
        <w:t>11.职业外语教育助力“职教出海”策略研究</w:t>
      </w:r>
    </w:p>
    <w:p>
      <w:pPr>
        <w:pStyle w:val="BodyText"/>
        <w:ind w:left="655"/>
        <w:spacing w:before="185" w:line="220" w:lineRule="auto"/>
        <w:rPr/>
      </w:pPr>
      <w:r>
        <w:rPr>
          <w:spacing w:val="7"/>
        </w:rPr>
        <w:t>12.职业外语教育数字化转型与创新实践研究</w:t>
      </w:r>
    </w:p>
    <w:p>
      <w:pPr>
        <w:pStyle w:val="BodyText"/>
        <w:ind w:left="655"/>
        <w:spacing w:before="190" w:line="222" w:lineRule="auto"/>
        <w:rPr/>
      </w:pPr>
      <w:r>
        <w:rPr>
          <w:spacing w:val="7"/>
        </w:rPr>
        <w:t>13.职业外语教育跨文化交际能力培养研究</w:t>
      </w:r>
    </w:p>
    <w:p>
      <w:pPr>
        <w:pStyle w:val="BodyText"/>
        <w:ind w:left="655"/>
        <w:spacing w:before="189" w:line="221" w:lineRule="auto"/>
        <w:rPr/>
      </w:pPr>
      <w:r>
        <w:rPr>
          <w:spacing w:val="7"/>
        </w:rPr>
        <w:t>14.职业外语教育校企合作模式创新研究</w:t>
      </w:r>
    </w:p>
    <w:p>
      <w:pPr>
        <w:pStyle w:val="BodyText"/>
        <w:ind w:left="655"/>
        <w:spacing w:before="187" w:line="224" w:lineRule="auto"/>
        <w:rPr/>
      </w:pPr>
      <w:r>
        <w:rPr>
          <w:spacing w:val="7"/>
        </w:rPr>
        <w:t>15.职业外语教育教材建设与资源开发研究</w:t>
      </w:r>
    </w:p>
    <w:p>
      <w:pPr>
        <w:pStyle w:val="BodyText"/>
        <w:ind w:left="655"/>
        <w:spacing w:before="183" w:line="224" w:lineRule="auto"/>
        <w:rPr/>
      </w:pPr>
      <w:r>
        <w:rPr>
          <w:spacing w:val="7"/>
        </w:rPr>
        <w:t>16.职业外语教育评价体系构建与完善研究</w:t>
      </w:r>
    </w:p>
    <w:p>
      <w:pPr>
        <w:pStyle w:val="BodyText"/>
        <w:ind w:left="655"/>
        <w:spacing w:before="186" w:line="223" w:lineRule="auto"/>
        <w:rPr/>
      </w:pPr>
      <w:r>
        <w:rPr>
          <w:spacing w:val="7"/>
        </w:rPr>
        <w:t>17.职业外语教育教师职业发展与能力提升研究</w:t>
      </w:r>
    </w:p>
    <w:p>
      <w:pPr>
        <w:ind w:left="638"/>
        <w:spacing w:before="185" w:line="225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二、申报要求</w:t>
      </w:r>
    </w:p>
    <w:p>
      <w:pPr>
        <w:pStyle w:val="BodyText"/>
        <w:ind w:right="1" w:firstLine="654"/>
        <w:spacing w:before="181" w:line="334" w:lineRule="auto"/>
        <w:rPr/>
      </w:pPr>
      <w:r>
        <w:rPr>
          <w:spacing w:val="4"/>
        </w:rPr>
        <w:t>1.课题采取公开申报和单位择优推荐相结合</w:t>
      </w:r>
      <w:r>
        <w:rPr>
          <w:spacing w:val="3"/>
        </w:rPr>
        <w:t>的方式，每所院</w:t>
      </w:r>
      <w:r>
        <w:rPr>
          <w:spacing w:val="4"/>
        </w:rPr>
        <w:t>校申报的课题总数不得超过</w:t>
      </w:r>
      <w:r>
        <w:rPr>
          <w:spacing w:val="-60"/>
        </w:rPr>
        <w:t xml:space="preserve"> </w:t>
      </w:r>
      <w:r>
        <w:rPr>
          <w:spacing w:val="4"/>
        </w:rPr>
        <w:t>2</w:t>
      </w:r>
      <w:r>
        <w:rPr>
          <w:spacing w:val="-52"/>
        </w:rPr>
        <w:t xml:space="preserve"> </w:t>
      </w:r>
      <w:r>
        <w:rPr>
          <w:spacing w:val="4"/>
        </w:rPr>
        <w:t>项。</w:t>
      </w:r>
    </w:p>
    <w:p>
      <w:pPr>
        <w:pStyle w:val="BodyText"/>
        <w:ind w:left="2" w:firstLine="633"/>
        <w:spacing w:before="3" w:line="333" w:lineRule="auto"/>
        <w:rPr/>
      </w:pPr>
      <w:r>
        <w:rPr>
          <w:spacing w:val="4"/>
        </w:rPr>
        <w:t>2.课题负责人同年度只能申报一个外语教指委的课题，且不</w:t>
      </w:r>
      <w:r>
        <w:rPr>
          <w:spacing w:val="5"/>
        </w:rPr>
        <w:t>能作为课题组成员参与其他课题。课题负责人主持的外</w:t>
      </w:r>
      <w:r>
        <w:rPr>
          <w:spacing w:val="4"/>
        </w:rPr>
        <w:t>语教指委</w:t>
      </w:r>
      <w:r>
        <w:rPr>
          <w:spacing w:val="6"/>
        </w:rPr>
        <w:t>课题尚未结题的（不含委托课题</w:t>
      </w:r>
      <w:r>
        <w:rPr>
          <w:spacing w:val="-10"/>
        </w:rPr>
        <w:t>），</w:t>
      </w:r>
      <w:r>
        <w:rPr>
          <w:spacing w:val="6"/>
        </w:rPr>
        <w:t>不能作为负责人申报新的课</w:t>
      </w:r>
    </w:p>
    <w:p>
      <w:pPr>
        <w:spacing w:line="333" w:lineRule="auto"/>
        <w:sectPr>
          <w:footerReference w:type="default" r:id="rId2"/>
          <w:pgSz w:w="11907" w:h="16839"/>
          <w:pgMar w:top="1431" w:right="1534" w:bottom="1142" w:left="1551" w:header="0" w:footer="826" w:gutter="0"/>
        </w:sectPr>
        <w:rPr/>
      </w:pPr>
    </w:p>
    <w:p>
      <w:pPr>
        <w:pStyle w:val="BodyText"/>
        <w:spacing w:before="218" w:line="226" w:lineRule="auto"/>
        <w:rPr/>
      </w:pPr>
      <w:r>
        <w:rPr>
          <w:spacing w:val="-13"/>
        </w:rPr>
        <w:t>题。</w:t>
      </w:r>
    </w:p>
    <w:p>
      <w:pPr>
        <w:pStyle w:val="BodyText"/>
        <w:ind w:left="3" w:right="261" w:firstLine="632"/>
        <w:spacing w:before="178" w:line="334" w:lineRule="auto"/>
        <w:rPr/>
      </w:pPr>
      <w:r>
        <w:rPr>
          <w:spacing w:val="4"/>
        </w:rPr>
        <w:t>3.</w:t>
      </w:r>
      <w:r>
        <w:rPr>
          <w:spacing w:val="4"/>
        </w:rPr>
        <w:t xml:space="preserve"> </w:t>
      </w:r>
      <w:r>
        <w:rPr>
          <w:spacing w:val="4"/>
        </w:rPr>
        <w:t>申报重点课题组成员人数不可超过</w:t>
      </w:r>
      <w:r>
        <w:rPr>
          <w:spacing w:val="4"/>
        </w:rPr>
        <w:t xml:space="preserve"> </w:t>
      </w:r>
      <w:r>
        <w:rPr>
          <w:spacing w:val="4"/>
        </w:rPr>
        <w:t>8</w:t>
      </w:r>
      <w:r>
        <w:rPr>
          <w:spacing w:val="4"/>
        </w:rPr>
        <w:t xml:space="preserve"> </w:t>
      </w:r>
      <w:r>
        <w:rPr>
          <w:spacing w:val="4"/>
        </w:rPr>
        <w:t>人（不含课题负责</w:t>
      </w:r>
      <w:r>
        <w:rPr>
          <w:spacing w:val="6"/>
        </w:rPr>
        <w:t>人</w:t>
      </w:r>
      <w:r>
        <w:rPr>
          <w:spacing w:val="10"/>
        </w:rPr>
        <w:t>），</w:t>
      </w:r>
      <w:r>
        <w:rPr>
          <w:spacing w:val="6"/>
        </w:rPr>
        <w:t>非重点课题不可超过</w:t>
      </w:r>
      <w:r>
        <w:rPr>
          <w:spacing w:val="-57"/>
        </w:rPr>
        <w:t xml:space="preserve"> </w:t>
      </w:r>
      <w:r>
        <w:rPr>
          <w:spacing w:val="6"/>
        </w:rPr>
        <w:t>5</w:t>
      </w:r>
      <w:r>
        <w:rPr>
          <w:spacing w:val="-49"/>
        </w:rPr>
        <w:t xml:space="preserve"> </w:t>
      </w:r>
      <w:r>
        <w:rPr>
          <w:spacing w:val="6"/>
        </w:rPr>
        <w:t>人（不含课题负责人）。</w:t>
      </w:r>
    </w:p>
    <w:p>
      <w:pPr>
        <w:pStyle w:val="BodyText"/>
        <w:ind w:firstLine="628"/>
        <w:spacing w:before="3" w:line="333" w:lineRule="auto"/>
        <w:rPr/>
      </w:pPr>
      <w:r>
        <w:rPr>
          <w:spacing w:val="4"/>
        </w:rPr>
        <w:t>4.不具有高级职称的课题申请人，须由同研究领域两名正高</w:t>
      </w:r>
      <w:r>
        <w:rPr>
          <w:spacing w:val="3"/>
        </w:rPr>
        <w:t>级职称专家书面推荐方可申报。推荐内容需包含课题负责人姓名、</w:t>
      </w:r>
      <w:r>
        <w:rPr>
          <w:spacing w:val="5"/>
        </w:rPr>
        <w:t>课题名称、课题负责人的科研能力、课题的学术价</w:t>
      </w:r>
      <w:r>
        <w:rPr>
          <w:spacing w:val="4"/>
        </w:rPr>
        <w:t>值、能否如期</w:t>
      </w:r>
      <w:r>
        <w:rPr>
          <w:spacing w:val="7"/>
        </w:rPr>
        <w:t>完成研究、能否完成预期成果、推荐人手写签名等。</w:t>
      </w:r>
    </w:p>
    <w:p>
      <w:pPr>
        <w:pStyle w:val="BodyText"/>
        <w:ind w:right="262" w:firstLine="635"/>
        <w:spacing w:before="3" w:line="333" w:lineRule="auto"/>
        <w:rPr/>
      </w:pPr>
      <w:r>
        <w:rPr>
          <w:spacing w:val="4"/>
        </w:rPr>
        <w:t>5.课题成果形式包括：结题报告、调研报告、学术论文、学</w:t>
      </w:r>
      <w:r>
        <w:rPr>
          <w:spacing w:val="5"/>
        </w:rPr>
        <w:t>术著作、教学软件及资源、教材（纸质教材或电子</w:t>
      </w:r>
      <w:r>
        <w:rPr>
          <w:spacing w:val="4"/>
        </w:rPr>
        <w:t>教材）等与课</w:t>
      </w:r>
      <w:r>
        <w:rPr>
          <w:spacing w:val="5"/>
        </w:rPr>
        <w:t>题有关的成果。课题组在公开发表与本课题研究相关</w:t>
      </w:r>
      <w:r>
        <w:rPr>
          <w:spacing w:val="4"/>
        </w:rPr>
        <w:t>的学术成果</w:t>
      </w:r>
      <w:r>
        <w:rPr>
          <w:spacing w:val="6"/>
        </w:rPr>
        <w:t>时，应注明本课题立项名称及项目编号等信息。</w:t>
      </w:r>
    </w:p>
    <w:p>
      <w:pPr>
        <w:pStyle w:val="BodyText"/>
        <w:ind w:left="8" w:right="467" w:firstLine="623"/>
        <w:spacing w:before="1" w:line="333" w:lineRule="auto"/>
        <w:rPr/>
      </w:pPr>
      <w:r>
        <w:rPr>
          <w:spacing w:val="6"/>
        </w:rPr>
        <w:t>6.课题分为重点课题（含委托课题）</w:t>
      </w:r>
      <w:r>
        <w:rPr>
          <w:spacing w:val="-81"/>
        </w:rPr>
        <w:t xml:space="preserve"> </w:t>
      </w:r>
      <w:r>
        <w:rPr>
          <w:spacing w:val="6"/>
        </w:rPr>
        <w:t>、一般课题和自筹经</w:t>
      </w:r>
      <w:r>
        <w:rPr>
          <w:spacing w:val="6"/>
        </w:rPr>
        <w:t>费课题三类。申报重点课题另需满足以下所有条件：</w:t>
      </w:r>
    </w:p>
    <w:p>
      <w:pPr>
        <w:pStyle w:val="BodyText"/>
        <w:ind w:left="629"/>
        <w:spacing w:line="222" w:lineRule="auto"/>
        <w:rPr/>
      </w:pPr>
      <w:r>
        <w:rPr>
          <w:spacing w:val="5"/>
        </w:rPr>
        <w:t>①课题负责人具有高级职称；</w:t>
      </w:r>
    </w:p>
    <w:p>
      <w:pPr>
        <w:pStyle w:val="BodyText"/>
        <w:ind w:left="628"/>
        <w:spacing w:before="188" w:line="221" w:lineRule="auto"/>
        <w:rPr/>
      </w:pPr>
      <w:r>
        <w:rPr>
          <w:spacing w:val="3"/>
        </w:rPr>
        <w:t>②课题负责人所在单位提供至少</w:t>
      </w:r>
      <w:r>
        <w:rPr>
          <w:spacing w:val="-28"/>
        </w:rPr>
        <w:t xml:space="preserve"> </w:t>
      </w:r>
      <w:r>
        <w:rPr>
          <w:spacing w:val="3"/>
        </w:rPr>
        <w:t>1:1</w:t>
      </w:r>
      <w:r>
        <w:rPr>
          <w:spacing w:val="-35"/>
        </w:rPr>
        <w:t xml:space="preserve"> </w:t>
      </w:r>
      <w:r>
        <w:rPr>
          <w:spacing w:val="3"/>
        </w:rPr>
        <w:t>的配套经费支持；</w:t>
      </w:r>
    </w:p>
    <w:p>
      <w:pPr>
        <w:pStyle w:val="BodyText"/>
        <w:ind w:left="628"/>
        <w:spacing w:before="188" w:line="221" w:lineRule="auto"/>
        <w:rPr/>
      </w:pPr>
      <w:r>
        <w:rPr>
          <w:spacing w:val="5"/>
        </w:rPr>
        <w:t>③需在省级以上专业期刊发表</w:t>
      </w:r>
      <w:r>
        <w:rPr>
          <w:spacing w:val="-28"/>
        </w:rPr>
        <w:t xml:space="preserve"> </w:t>
      </w:r>
      <w:r>
        <w:rPr>
          <w:spacing w:val="5"/>
        </w:rPr>
        <w:t>1</w:t>
      </w:r>
      <w:r>
        <w:rPr>
          <w:spacing w:val="-42"/>
        </w:rPr>
        <w:t xml:space="preserve"> </w:t>
      </w:r>
      <w:r>
        <w:rPr>
          <w:spacing w:val="5"/>
        </w:rPr>
        <w:t>篇以上相关论文。</w:t>
      </w:r>
    </w:p>
    <w:p>
      <w:pPr>
        <w:pStyle w:val="BodyText"/>
        <w:ind w:left="1" w:right="265" w:firstLine="635"/>
        <w:spacing w:before="185" w:line="334" w:lineRule="auto"/>
        <w:rPr/>
      </w:pPr>
      <w:r>
        <w:rPr>
          <w:spacing w:val="5"/>
        </w:rPr>
        <w:t>7.</w:t>
      </w:r>
      <w:r>
        <w:rPr>
          <w:spacing w:val="72"/>
        </w:rPr>
        <w:t xml:space="preserve"> </w:t>
      </w:r>
      <w:r>
        <w:rPr>
          <w:spacing w:val="5"/>
        </w:rPr>
        <w:t>课题经评审立项后，除不可抗力原因，</w:t>
      </w:r>
      <w:r>
        <w:rPr>
          <w:spacing w:val="-85"/>
        </w:rPr>
        <w:t xml:space="preserve"> </w:t>
      </w:r>
      <w:r>
        <w:rPr>
          <w:spacing w:val="5"/>
        </w:rPr>
        <w:t>不得变更课题负</w:t>
      </w:r>
      <w:r>
        <w:rPr>
          <w:spacing w:val="5"/>
        </w:rPr>
        <w:t>责人和课题研究内容。课题组成员如果发生变更</w:t>
      </w:r>
      <w:r>
        <w:rPr>
          <w:spacing w:val="4"/>
        </w:rPr>
        <w:t>，需在中期检查</w:t>
      </w:r>
      <w:r>
        <w:rPr/>
        <w:t>阶段提出申请并填写《重要事项变更申请表》，</w:t>
      </w:r>
      <w:r>
        <w:rPr>
          <w:spacing w:val="-22"/>
        </w:rPr>
        <w:t xml:space="preserve"> </w:t>
      </w:r>
      <w:r>
        <w:rPr/>
        <w:t>经评审专家准许</w:t>
      </w:r>
      <w:r>
        <w:rPr>
          <w:spacing w:val="5"/>
        </w:rPr>
        <w:t>之后，方可变更。中期检查后，不得变更课题组</w:t>
      </w:r>
      <w:r>
        <w:rPr>
          <w:spacing w:val="4"/>
        </w:rPr>
        <w:t>成员。课题负责</w:t>
      </w:r>
      <w:r>
        <w:rPr>
          <w:spacing w:val="7"/>
        </w:rPr>
        <w:t>人要遵守相关承诺，履行约定义务，按期完成研究任</w:t>
      </w:r>
      <w:r>
        <w:rPr>
          <w:spacing w:val="6"/>
        </w:rPr>
        <w:t>务。</w:t>
      </w:r>
    </w:p>
    <w:p>
      <w:pPr>
        <w:ind w:left="637"/>
        <w:spacing w:before="1" w:line="223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3"/>
        </w:rPr>
        <w:t>三、课题经费</w:t>
      </w:r>
    </w:p>
    <w:p>
      <w:pPr>
        <w:pStyle w:val="BodyText"/>
        <w:ind w:left="8" w:right="261" w:firstLine="644"/>
        <w:spacing w:before="184" w:line="335" w:lineRule="auto"/>
        <w:rPr/>
      </w:pPr>
      <w:r>
        <w:rPr>
          <w:spacing w:val="3"/>
        </w:rPr>
        <w:t>1.</w:t>
      </w:r>
      <w:r>
        <w:rPr>
          <w:spacing w:val="3"/>
        </w:rPr>
        <w:t xml:space="preserve"> </w:t>
      </w:r>
      <w:r>
        <w:rPr>
          <w:spacing w:val="3"/>
        </w:rPr>
        <w:t>重点委托课题的研究经费为</w:t>
      </w:r>
      <w:r>
        <w:rPr>
          <w:spacing w:val="3"/>
        </w:rPr>
        <w:t xml:space="preserve"> </w:t>
      </w:r>
      <w:r>
        <w:rPr>
          <w:spacing w:val="3"/>
        </w:rPr>
        <w:t>1</w:t>
      </w:r>
      <w:r>
        <w:rPr>
          <w:spacing w:val="3"/>
        </w:rPr>
        <w:t xml:space="preserve"> </w:t>
      </w:r>
      <w:r>
        <w:rPr>
          <w:spacing w:val="3"/>
        </w:rPr>
        <w:t>万元，重点课题的研究经</w:t>
      </w:r>
      <w:r>
        <w:rPr>
          <w:spacing w:val="1"/>
        </w:rPr>
        <w:t>费为</w:t>
      </w:r>
      <w:r>
        <w:rPr>
          <w:spacing w:val="-55"/>
        </w:rPr>
        <w:t xml:space="preserve"> </w:t>
      </w:r>
      <w:r>
        <w:rPr>
          <w:spacing w:val="1"/>
        </w:rPr>
        <w:t>5000</w:t>
      </w:r>
      <w:r>
        <w:rPr>
          <w:spacing w:val="-49"/>
        </w:rPr>
        <w:t xml:space="preserve"> </w:t>
      </w:r>
      <w:r>
        <w:rPr>
          <w:spacing w:val="1"/>
        </w:rPr>
        <w:t>元，一般课题的研究经费为</w:t>
      </w:r>
      <w:r>
        <w:rPr>
          <w:spacing w:val="-59"/>
        </w:rPr>
        <w:t xml:space="preserve"> </w:t>
      </w:r>
      <w:r>
        <w:rPr>
          <w:spacing w:val="1"/>
        </w:rPr>
        <w:t>2000</w:t>
      </w:r>
      <w:r>
        <w:rPr>
          <w:spacing w:val="-48"/>
        </w:rPr>
        <w:t xml:space="preserve"> </w:t>
      </w:r>
      <w:r>
        <w:rPr>
          <w:spacing w:val="1"/>
        </w:rPr>
        <w:t>元，由外教社提供资</w:t>
      </w:r>
    </w:p>
    <w:p>
      <w:pPr>
        <w:spacing w:line="335" w:lineRule="auto"/>
        <w:sectPr>
          <w:footerReference w:type="default" r:id="rId3"/>
          <w:pgSz w:w="11907" w:h="16839"/>
          <w:pgMar w:top="1431" w:right="1270" w:bottom="1142" w:left="1554" w:header="0" w:footer="830" w:gutter="0"/>
        </w:sectPr>
        <w:rPr/>
      </w:pPr>
    </w:p>
    <w:p>
      <w:pPr>
        <w:pStyle w:val="BodyText"/>
        <w:ind w:left="6" w:right="265" w:hanging="6"/>
        <w:spacing w:before="218" w:line="332" w:lineRule="auto"/>
        <w:rPr/>
      </w:pPr>
      <w:r>
        <w:rPr>
          <w:spacing w:val="5"/>
        </w:rPr>
        <w:t>助，在立项后一次性拨款至课题负责人所在单位账户。课</w:t>
      </w:r>
      <w:r>
        <w:rPr>
          <w:spacing w:val="4"/>
        </w:rPr>
        <w:t>题负责</w:t>
      </w:r>
      <w:r>
        <w:rPr>
          <w:spacing w:val="6"/>
        </w:rPr>
        <w:t>人所在单位收到款项后，</w:t>
      </w:r>
      <w:r>
        <w:rPr>
          <w:spacing w:val="-93"/>
        </w:rPr>
        <w:t xml:space="preserve"> </w:t>
      </w:r>
      <w:r>
        <w:rPr>
          <w:spacing w:val="6"/>
        </w:rPr>
        <w:t>应开具增值税专用发票给外教社。</w:t>
      </w:r>
    </w:p>
    <w:p>
      <w:pPr>
        <w:pStyle w:val="BodyText"/>
        <w:ind w:left="9" w:right="267" w:firstLine="625"/>
        <w:spacing w:before="4" w:line="333" w:lineRule="auto"/>
        <w:rPr/>
      </w:pPr>
      <w:r>
        <w:rPr>
          <w:spacing w:val="13"/>
        </w:rPr>
        <w:t>2.</w:t>
      </w:r>
      <w:r>
        <w:rPr>
          <w:spacing w:val="-64"/>
        </w:rPr>
        <w:t xml:space="preserve"> </w:t>
      </w:r>
      <w:r>
        <w:rPr>
          <w:spacing w:val="13"/>
        </w:rPr>
        <w:t>自筹经费课题由课题负责人所在单位提供资助或由课题</w:t>
      </w:r>
      <w:r>
        <w:rPr>
          <w:spacing w:val="4"/>
        </w:rPr>
        <w:t>负责人自行解决。</w:t>
      </w:r>
    </w:p>
    <w:p>
      <w:pPr>
        <w:pStyle w:val="BodyText"/>
        <w:ind w:left="7" w:right="267" w:firstLine="630"/>
        <w:spacing w:before="3" w:line="333" w:lineRule="auto"/>
        <w:rPr/>
      </w:pPr>
      <w:r>
        <w:rPr>
          <w:spacing w:val="16"/>
        </w:rPr>
        <w:t>3.课题经费应严格按照国家和课题负责人所在单位有关规</w:t>
      </w:r>
      <w:r>
        <w:rPr>
          <w:spacing w:val="6"/>
        </w:rPr>
        <w:t>定用于课题研究，专款专用，不得挪作他用。</w:t>
      </w:r>
    </w:p>
    <w:p>
      <w:pPr>
        <w:pStyle w:val="BodyText"/>
        <w:ind w:right="258" w:firstLine="629"/>
        <w:spacing w:before="2" w:line="333" w:lineRule="auto"/>
        <w:rPr/>
      </w:pPr>
      <w:r>
        <w:rPr>
          <w:spacing w:val="7"/>
        </w:rPr>
        <w:t>4.建议课题负责人所在单位对立项课题给予</w:t>
      </w:r>
      <w:r>
        <w:rPr>
          <w:spacing w:val="45"/>
        </w:rPr>
        <w:t xml:space="preserve"> </w:t>
      </w:r>
      <w:r>
        <w:rPr>
          <w:spacing w:val="6"/>
        </w:rPr>
        <w:t>1:1</w:t>
      </w:r>
      <w:r>
        <w:rPr>
          <w:spacing w:val="61"/>
        </w:rPr>
        <w:t xml:space="preserve"> </w:t>
      </w:r>
      <w:r>
        <w:rPr>
          <w:spacing w:val="6"/>
        </w:rPr>
        <w:t>以上的配</w:t>
      </w:r>
      <w:r>
        <w:rPr/>
        <w:t>套经费支持。</w:t>
      </w:r>
    </w:p>
    <w:p>
      <w:pPr>
        <w:ind w:left="651"/>
        <w:spacing w:before="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四、时间安排</w:t>
      </w:r>
    </w:p>
    <w:p>
      <w:pPr>
        <w:pStyle w:val="BodyText"/>
        <w:ind w:left="657"/>
        <w:spacing w:before="182" w:line="221" w:lineRule="auto"/>
        <w:outlineLvl w:val="2"/>
        <w:rPr/>
      </w:pPr>
      <w:r>
        <w:rPr>
          <w:b/>
          <w:bCs/>
          <w:spacing w:val="-5"/>
        </w:rPr>
        <w:t>1.立项申请：2025</w:t>
      </w:r>
      <w:r>
        <w:rPr>
          <w:spacing w:val="-29"/>
        </w:rPr>
        <w:t xml:space="preserve"> </w:t>
      </w:r>
      <w:r>
        <w:rPr>
          <w:b/>
          <w:bCs/>
          <w:spacing w:val="-5"/>
        </w:rPr>
        <w:t>年</w:t>
      </w:r>
      <w:r>
        <w:rPr>
          <w:spacing w:val="-59"/>
        </w:rPr>
        <w:t xml:space="preserve"> </w:t>
      </w:r>
      <w:r>
        <w:rPr>
          <w:b/>
          <w:bCs/>
          <w:spacing w:val="-5"/>
        </w:rPr>
        <w:t>6</w:t>
      </w:r>
      <w:r>
        <w:rPr>
          <w:spacing w:val="-36"/>
        </w:rPr>
        <w:t xml:space="preserve"> </w:t>
      </w:r>
      <w:r>
        <w:rPr>
          <w:b/>
          <w:bCs/>
          <w:spacing w:val="-5"/>
        </w:rPr>
        <w:t>月</w:t>
      </w:r>
      <w:r>
        <w:rPr>
          <w:spacing w:val="-56"/>
        </w:rPr>
        <w:t xml:space="preserve"> </w:t>
      </w:r>
      <w:r>
        <w:rPr>
          <w:b/>
          <w:bCs/>
          <w:spacing w:val="-5"/>
        </w:rPr>
        <w:t>30</w:t>
      </w:r>
      <w:r>
        <w:rPr>
          <w:spacing w:val="-5"/>
        </w:rPr>
        <w:t xml:space="preserve"> </w:t>
      </w:r>
      <w:r>
        <w:rPr>
          <w:b/>
          <w:bCs/>
          <w:spacing w:val="-5"/>
        </w:rPr>
        <w:t>日前</w:t>
      </w:r>
    </w:p>
    <w:p>
      <w:pPr>
        <w:pStyle w:val="BodyText"/>
        <w:ind w:right="14" w:firstLine="641"/>
        <w:spacing w:before="184" w:line="334" w:lineRule="auto"/>
        <w:jc w:val="both"/>
        <w:rPr/>
      </w:pPr>
      <w:r>
        <w:rPr>
          <w:spacing w:val="9"/>
        </w:rPr>
        <w:t>课题申请人通过</w:t>
      </w:r>
      <w:r>
        <w:rPr>
          <w:spacing w:val="-36"/>
        </w:rPr>
        <w:t xml:space="preserve"> </w:t>
      </w:r>
      <w:hyperlink w:history="true" r:id="rId5">
        <w:r>
          <w:rPr/>
          <w:t>kyxm</w:t>
        </w:r>
        <w:r>
          <w:rPr>
            <w:spacing w:val="9"/>
          </w:rPr>
          <w:t>.</w:t>
        </w:r>
        <w:r>
          <w:rPr/>
          <w:t>sflep</w:t>
        </w:r>
        <w:r>
          <w:rPr>
            <w:spacing w:val="9"/>
          </w:rPr>
          <w:t>.</w:t>
        </w:r>
        <w:r>
          <w:rPr/>
          <w:t>com</w:t>
        </w:r>
      </w:hyperlink>
      <w:r>
        <w:rPr>
          <w:spacing w:val="-26"/>
        </w:rPr>
        <w:t xml:space="preserve"> </w:t>
      </w:r>
      <w:r>
        <w:rPr>
          <w:spacing w:val="9"/>
        </w:rPr>
        <w:t>在线申报，然后打印《立</w:t>
      </w:r>
      <w:r>
        <w:rPr>
          <w:spacing w:val="-8"/>
        </w:rPr>
        <w:t>项申请书》两份，签字后由学校签署意见并盖章（</w:t>
      </w:r>
      <w:r>
        <w:rPr>
          <w:b/>
          <w:bCs/>
          <w:spacing w:val="-8"/>
        </w:rPr>
        <w:t>加盖学校公章</w:t>
      </w:r>
      <w:r>
        <w:rPr>
          <w:spacing w:val="-15"/>
        </w:rPr>
        <w:t>），</w:t>
      </w:r>
      <w:r>
        <w:rPr>
          <w:spacing w:val="3"/>
        </w:rPr>
        <w:t>于上述日期前寄达课题联系地址。不具有高</w:t>
      </w:r>
      <w:r>
        <w:rPr>
          <w:spacing w:val="2"/>
        </w:rPr>
        <w:t>级职称的课题申请人，</w:t>
      </w:r>
      <w:r>
        <w:rPr>
          <w:spacing w:val="5"/>
        </w:rPr>
        <w:t>申请材料中需包含专家书面推荐（原件一式两份，两位</w:t>
      </w:r>
      <w:r>
        <w:rPr>
          <w:spacing w:val="4"/>
        </w:rPr>
        <w:t>专家共四</w:t>
      </w:r>
      <w:r>
        <w:rPr>
          <w:spacing w:val="6"/>
        </w:rPr>
        <w:t>份，若无专家推荐，则课题申请无效）。</w:t>
      </w:r>
    </w:p>
    <w:p>
      <w:pPr>
        <w:pStyle w:val="BodyText"/>
        <w:ind w:left="638"/>
        <w:spacing w:before="2" w:line="222" w:lineRule="auto"/>
        <w:outlineLvl w:val="2"/>
        <w:rPr/>
      </w:pPr>
      <w:r>
        <w:rPr>
          <w:b/>
          <w:bCs/>
          <w:spacing w:val="-3"/>
        </w:rPr>
        <w:t>2.立项评审：2025</w:t>
      </w:r>
      <w:r>
        <w:rPr>
          <w:spacing w:val="-45"/>
        </w:rPr>
        <w:t xml:space="preserve"> </w:t>
      </w:r>
      <w:r>
        <w:rPr>
          <w:b/>
          <w:bCs/>
          <w:spacing w:val="-3"/>
        </w:rPr>
        <w:t>年</w:t>
      </w:r>
      <w:r>
        <w:rPr>
          <w:spacing w:val="-61"/>
        </w:rPr>
        <w:t xml:space="preserve"> </w:t>
      </w:r>
      <w:r>
        <w:rPr>
          <w:b/>
          <w:bCs/>
          <w:spacing w:val="-3"/>
        </w:rPr>
        <w:t>8</w:t>
      </w:r>
      <w:r>
        <w:rPr>
          <w:spacing w:val="-37"/>
        </w:rPr>
        <w:t xml:space="preserve"> </w:t>
      </w:r>
      <w:r>
        <w:rPr>
          <w:b/>
          <w:bCs/>
          <w:spacing w:val="-3"/>
        </w:rPr>
        <w:t>月</w:t>
      </w:r>
      <w:r>
        <w:rPr>
          <w:spacing w:val="-55"/>
        </w:rPr>
        <w:t xml:space="preserve"> </w:t>
      </w:r>
      <w:r>
        <w:rPr>
          <w:b/>
          <w:bCs/>
          <w:spacing w:val="-3"/>
        </w:rPr>
        <w:t>31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日前</w:t>
      </w:r>
    </w:p>
    <w:p>
      <w:pPr>
        <w:pStyle w:val="BodyText"/>
        <w:ind w:right="261" w:firstLine="645"/>
        <w:spacing w:before="183" w:line="334" w:lineRule="auto"/>
        <w:jc w:val="both"/>
        <w:rPr/>
      </w:pPr>
      <w:r>
        <w:rPr>
          <w:spacing w:val="4"/>
        </w:rPr>
        <w:t>外语教指委组织专家对课题进行评审，并公布立项课题和资</w:t>
      </w:r>
      <w:r>
        <w:rPr>
          <w:spacing w:val="5"/>
        </w:rPr>
        <w:t>助级别。评审严格遵循科学、公平、公正、公开的原则，主要程</w:t>
      </w:r>
      <w:r>
        <w:rPr>
          <w:spacing w:val="8"/>
        </w:rPr>
        <w:t>序包括资格审查、专家评审、立项公示等。</w:t>
      </w:r>
    </w:p>
    <w:p>
      <w:pPr>
        <w:pStyle w:val="BodyText"/>
        <w:ind w:left="640"/>
        <w:spacing w:before="1" w:line="221" w:lineRule="auto"/>
        <w:outlineLvl w:val="2"/>
        <w:rPr/>
      </w:pPr>
      <w:r>
        <w:rPr>
          <w:b/>
          <w:bCs/>
          <w:spacing w:val="-4"/>
        </w:rPr>
        <w:t>3.</w:t>
      </w:r>
      <w:r>
        <w:rPr>
          <w:spacing w:val="-87"/>
        </w:rPr>
        <w:t xml:space="preserve"> </w:t>
      </w:r>
      <w:r>
        <w:rPr>
          <w:b/>
          <w:bCs/>
          <w:spacing w:val="-4"/>
        </w:rPr>
        <w:t>中期检查：2026</w:t>
      </w:r>
      <w:r>
        <w:rPr>
          <w:spacing w:val="-45"/>
        </w:rPr>
        <w:t xml:space="preserve"> </w:t>
      </w:r>
      <w:r>
        <w:rPr>
          <w:b/>
          <w:bCs/>
          <w:spacing w:val="-4"/>
        </w:rPr>
        <w:t>年</w:t>
      </w:r>
      <w:r>
        <w:rPr>
          <w:spacing w:val="-56"/>
        </w:rPr>
        <w:t xml:space="preserve"> </w:t>
      </w:r>
      <w:r>
        <w:rPr>
          <w:b/>
          <w:bCs/>
          <w:spacing w:val="-4"/>
        </w:rPr>
        <w:t>3-5</w:t>
      </w:r>
      <w:r>
        <w:rPr>
          <w:spacing w:val="-36"/>
        </w:rPr>
        <w:t xml:space="preserve"> </w:t>
      </w:r>
      <w:r>
        <w:rPr>
          <w:b/>
          <w:bCs/>
          <w:spacing w:val="-4"/>
        </w:rPr>
        <w:t>月</w:t>
      </w:r>
    </w:p>
    <w:p>
      <w:pPr>
        <w:pStyle w:val="BodyText"/>
        <w:ind w:left="2" w:firstLine="641"/>
        <w:spacing w:before="188" w:line="334" w:lineRule="auto"/>
        <w:jc w:val="both"/>
        <w:rPr/>
      </w:pPr>
      <w:r>
        <w:rPr>
          <w:spacing w:val="4"/>
        </w:rPr>
        <w:t>对于重点课题，外语教指委将组织中期答辩。其他课题由课</w:t>
      </w:r>
      <w:r>
        <w:rPr>
          <w:spacing w:val="3"/>
        </w:rPr>
        <w:t>题负责人所在单位负责中期检查工作，检查范围包括课题的进度、</w:t>
      </w:r>
      <w:r>
        <w:rPr>
          <w:spacing w:val="3"/>
        </w:rPr>
        <w:t>质量和经费使用情况等。</w:t>
      </w:r>
    </w:p>
    <w:p>
      <w:pPr>
        <w:spacing w:line="334" w:lineRule="auto"/>
        <w:sectPr>
          <w:footerReference w:type="default" r:id="rId4"/>
          <w:pgSz w:w="11907" w:h="16839"/>
          <w:pgMar w:top="1431" w:right="1270" w:bottom="1142" w:left="1551" w:header="0" w:footer="826" w:gutter="0"/>
        </w:sectPr>
        <w:rPr/>
      </w:pPr>
    </w:p>
    <w:p>
      <w:pPr>
        <w:pStyle w:val="BodyText"/>
        <w:ind w:left="649"/>
        <w:spacing w:before="217" w:line="223" w:lineRule="auto"/>
        <w:outlineLvl w:val="2"/>
        <w:rPr/>
      </w:pPr>
      <w:r>
        <w:rPr>
          <w:b/>
          <w:bCs/>
          <w:spacing w:val="-4"/>
        </w:rPr>
        <w:t>4.课题结题：2026</w:t>
      </w:r>
      <w:r>
        <w:rPr>
          <w:spacing w:val="-41"/>
        </w:rPr>
        <w:t xml:space="preserve"> </w:t>
      </w:r>
      <w:r>
        <w:rPr>
          <w:b/>
          <w:bCs/>
          <w:spacing w:val="-4"/>
        </w:rPr>
        <w:t>年</w:t>
      </w:r>
      <w:r>
        <w:rPr>
          <w:spacing w:val="-38"/>
        </w:rPr>
        <w:t xml:space="preserve"> </w:t>
      </w:r>
      <w:r>
        <w:rPr>
          <w:b/>
          <w:bCs/>
          <w:spacing w:val="-4"/>
        </w:rPr>
        <w:t>11</w:t>
      </w:r>
      <w:r>
        <w:rPr>
          <w:spacing w:val="-36"/>
        </w:rPr>
        <w:t xml:space="preserve"> </w:t>
      </w:r>
      <w:r>
        <w:rPr>
          <w:b/>
          <w:bCs/>
          <w:spacing w:val="-4"/>
        </w:rPr>
        <w:t>月</w:t>
      </w:r>
      <w:r>
        <w:rPr>
          <w:spacing w:val="-58"/>
        </w:rPr>
        <w:t xml:space="preserve"> </w:t>
      </w:r>
      <w:r>
        <w:rPr>
          <w:b/>
          <w:bCs/>
          <w:spacing w:val="-4"/>
        </w:rPr>
        <w:t>30</w:t>
      </w:r>
      <w:r>
        <w:rPr>
          <w:spacing w:val="-4"/>
        </w:rPr>
        <w:t xml:space="preserve"> </w:t>
      </w:r>
      <w:r>
        <w:rPr>
          <w:b/>
          <w:bCs/>
          <w:spacing w:val="-4"/>
        </w:rPr>
        <w:t>日前，不可延期。</w:t>
      </w:r>
    </w:p>
    <w:p>
      <w:pPr>
        <w:pStyle w:val="BodyText"/>
        <w:ind w:left="18" w:firstLine="643"/>
        <w:spacing w:before="187" w:line="333" w:lineRule="auto"/>
        <w:jc w:val="both"/>
        <w:rPr/>
      </w:pPr>
      <w:r>
        <w:rPr>
          <w:spacing w:val="8"/>
        </w:rPr>
        <w:t>外语教指委将组织专家开展结题验收，验收结果分为优秀、</w:t>
      </w:r>
      <w:r>
        <w:rPr>
          <w:spacing w:val="1"/>
        </w:rPr>
        <w:t>合格、撤项三类。课题组需于</w:t>
      </w:r>
      <w:r>
        <w:rPr>
          <w:spacing w:val="-48"/>
        </w:rPr>
        <w:t xml:space="preserve"> </w:t>
      </w:r>
      <w:r>
        <w:rPr>
          <w:spacing w:val="1"/>
        </w:rPr>
        <w:t>2026</w:t>
      </w:r>
      <w:r>
        <w:rPr>
          <w:spacing w:val="-38"/>
        </w:rPr>
        <w:t xml:space="preserve"> </w:t>
      </w:r>
      <w:r>
        <w:rPr>
          <w:spacing w:val="1"/>
        </w:rPr>
        <w:t>年</w:t>
      </w:r>
      <w:r>
        <w:rPr>
          <w:spacing w:val="-34"/>
        </w:rPr>
        <w:t xml:space="preserve"> </w:t>
      </w:r>
      <w:r>
        <w:rPr>
          <w:spacing w:val="1"/>
        </w:rPr>
        <w:t>11</w:t>
      </w:r>
      <w:r>
        <w:rPr>
          <w:spacing w:val="-32"/>
        </w:rPr>
        <w:t xml:space="preserve"> </w:t>
      </w:r>
      <w:r>
        <w:rPr>
          <w:spacing w:val="1"/>
        </w:rPr>
        <w:t>月</w:t>
      </w:r>
      <w:r>
        <w:rPr>
          <w:spacing w:val="-51"/>
        </w:rPr>
        <w:t xml:space="preserve"> </w:t>
      </w:r>
      <w:r>
        <w:rPr>
          <w:spacing w:val="1"/>
        </w:rPr>
        <w:t>30</w:t>
      </w:r>
      <w:r>
        <w:rPr>
          <w:spacing w:val="1"/>
        </w:rPr>
        <w:t xml:space="preserve"> </w:t>
      </w:r>
      <w:r>
        <w:rPr>
          <w:spacing w:val="1"/>
        </w:rPr>
        <w:t>日前提交以下结</w:t>
      </w:r>
      <w:r>
        <w:rPr>
          <w:spacing w:val="-12"/>
        </w:rPr>
        <w:t>题材料：</w:t>
      </w:r>
    </w:p>
    <w:p>
      <w:pPr>
        <w:pStyle w:val="BodyText"/>
        <w:ind w:left="19" w:right="101" w:firstLine="642"/>
        <w:spacing w:before="3" w:line="333" w:lineRule="auto"/>
        <w:rPr/>
      </w:pPr>
      <w:r>
        <w:rPr>
          <w:spacing w:val="-2"/>
        </w:rPr>
        <w:t>（1）《结题验收申请书》（纸质版一式两份）。课题负责人</w:t>
      </w:r>
      <w:r>
        <w:rPr>
          <w:spacing w:val="7"/>
        </w:rPr>
        <w:t>以原账户登录</w:t>
      </w:r>
      <w:r>
        <w:rPr>
          <w:spacing w:val="-24"/>
        </w:rPr>
        <w:t xml:space="preserve"> </w:t>
      </w:r>
      <w:hyperlink w:history="true" r:id="rId5">
        <w:r>
          <w:rPr/>
          <w:t>kyxm</w:t>
        </w:r>
        <w:r>
          <w:rPr>
            <w:spacing w:val="7"/>
          </w:rPr>
          <w:t>.</w:t>
        </w:r>
        <w:r>
          <w:rPr/>
          <w:t>sflep</w:t>
        </w:r>
        <w:r>
          <w:rPr>
            <w:spacing w:val="7"/>
          </w:rPr>
          <w:t>.</w:t>
        </w:r>
        <w:r>
          <w:rPr/>
          <w:t>com</w:t>
        </w:r>
      </w:hyperlink>
      <w:r>
        <w:rPr>
          <w:spacing w:val="7"/>
        </w:rPr>
        <w:t xml:space="preserve"> </w:t>
      </w:r>
      <w:r>
        <w:rPr>
          <w:spacing w:val="7"/>
        </w:rPr>
        <w:t>申请结题，在线填写《结题验收</w:t>
      </w:r>
      <w:r>
        <w:rPr>
          <w:spacing w:val="5"/>
        </w:rPr>
        <w:t>申请书》并打印一式两份，签字后由学校对照《</w:t>
      </w:r>
      <w:r>
        <w:rPr>
          <w:spacing w:val="4"/>
        </w:rPr>
        <w:t>立项申报表》进</w:t>
      </w:r>
      <w:r>
        <w:rPr>
          <w:spacing w:val="3"/>
        </w:rPr>
        <w:t>行初审验收并盖章。</w:t>
      </w:r>
    </w:p>
    <w:p>
      <w:pPr>
        <w:pStyle w:val="BodyText"/>
        <w:ind w:left="19" w:right="106" w:firstLine="642"/>
        <w:spacing w:before="3" w:line="333" w:lineRule="auto"/>
        <w:rPr/>
      </w:pPr>
      <w:r>
        <w:rPr>
          <w:spacing w:val="-3"/>
        </w:rPr>
        <w:t>（2）《课题研究报告》（纸质版一式两份</w:t>
      </w:r>
      <w:r>
        <w:rPr>
          <w:spacing w:val="-39"/>
        </w:rPr>
        <w:t>），</w:t>
      </w:r>
      <w:r>
        <w:rPr>
          <w:spacing w:val="-3"/>
        </w:rPr>
        <w:t>5000</w:t>
      </w:r>
      <w:r>
        <w:rPr>
          <w:spacing w:val="-41"/>
        </w:rPr>
        <w:t xml:space="preserve"> </w:t>
      </w:r>
      <w:r>
        <w:rPr>
          <w:spacing w:val="-3"/>
        </w:rPr>
        <w:t>字以上，</w:t>
      </w:r>
      <w:r>
        <w:rPr>
          <w:spacing w:val="5"/>
        </w:rPr>
        <w:t>内容包括：①课题提出的背景、目的和意义；②</w:t>
      </w:r>
      <w:r>
        <w:rPr>
          <w:spacing w:val="4"/>
        </w:rPr>
        <w:t>课题研究的主要</w:t>
      </w:r>
      <w:r>
        <w:rPr>
          <w:spacing w:val="5"/>
        </w:rPr>
        <w:t>内容；③课题研究采取的方法与具体措施；④课</w:t>
      </w:r>
      <w:r>
        <w:rPr>
          <w:spacing w:val="4"/>
        </w:rPr>
        <w:t>题进程或阶段说</w:t>
      </w:r>
      <w:r>
        <w:rPr>
          <w:spacing w:val="5"/>
        </w:rPr>
        <w:t>明；⑤研究的结果、结论及其取得的社会效益；</w:t>
      </w:r>
      <w:r>
        <w:rPr>
          <w:spacing w:val="4"/>
        </w:rPr>
        <w:t>⑥课题研究中存</w:t>
      </w:r>
      <w:r>
        <w:rPr>
          <w:spacing w:val="5"/>
        </w:rPr>
        <w:t>在的问题及今后的研究设想等；</w:t>
      </w:r>
      <w:r>
        <w:rPr>
          <w:spacing w:val="-107"/>
        </w:rPr>
        <w:t xml:space="preserve"> </w:t>
      </w:r>
      <w:r>
        <w:rPr>
          <w:spacing w:val="5"/>
        </w:rPr>
        <w:t>⑦附录（参考文献等）。</w:t>
      </w:r>
    </w:p>
    <w:p>
      <w:pPr>
        <w:pStyle w:val="BodyText"/>
        <w:ind w:right="99" w:firstLine="662"/>
        <w:spacing w:before="6" w:line="333" w:lineRule="auto"/>
        <w:rPr/>
      </w:pPr>
      <w:r>
        <w:rPr>
          <w:spacing w:val="7"/>
        </w:rPr>
        <w:t>（3）课题其他研究成果复印件（一式两份）。</w:t>
      </w:r>
      <w:r>
        <w:rPr>
          <w:spacing w:val="-65"/>
        </w:rPr>
        <w:t xml:space="preserve"> </w:t>
      </w:r>
      <w:r>
        <w:rPr>
          <w:spacing w:val="7"/>
        </w:rPr>
        <w:t>论文类成果</w:t>
      </w:r>
      <w:r>
        <w:rPr>
          <w:spacing w:val="5"/>
        </w:rPr>
        <w:t>必须为已经正式发表的作品；专著、教材类成果，已出版的提交</w:t>
      </w:r>
      <w:r>
        <w:rPr>
          <w:spacing w:val="5"/>
        </w:rPr>
        <w:t>书籍封面及目录复印件，未出版的提交完整书稿；数字、网络类</w:t>
      </w:r>
      <w:r>
        <w:rPr>
          <w:spacing w:val="5"/>
        </w:rPr>
        <w:t>成果需提供音频、视频、网址等。如成果较多可提供电子版装入</w:t>
      </w:r>
      <w:r>
        <w:rPr>
          <w:spacing w:val="-10"/>
        </w:rPr>
        <w:t>U</w:t>
      </w:r>
      <w:r>
        <w:rPr>
          <w:spacing w:val="-43"/>
        </w:rPr>
        <w:t xml:space="preserve"> </w:t>
      </w:r>
      <w:r>
        <w:rPr>
          <w:spacing w:val="-10"/>
        </w:rPr>
        <w:t>盘。</w:t>
      </w:r>
    </w:p>
    <w:p>
      <w:pPr>
        <w:pStyle w:val="BodyText"/>
        <w:ind w:left="18" w:right="101" w:firstLine="644"/>
        <w:spacing w:before="2" w:line="333" w:lineRule="auto"/>
        <w:rPr/>
      </w:pPr>
      <w:r>
        <w:rPr>
          <w:spacing w:val="10"/>
        </w:rPr>
        <w:t>（4）凡有下列情形之一者，将对课题作撤项处理。相关课</w:t>
      </w:r>
      <w:r>
        <w:rPr>
          <w:spacing w:val="6"/>
        </w:rPr>
        <w:t>题负责人三年内不得申报外语教指委同类课题。</w:t>
      </w:r>
    </w:p>
    <w:p>
      <w:pPr>
        <w:pStyle w:val="BodyText"/>
        <w:ind w:left="648"/>
        <w:spacing w:line="221" w:lineRule="auto"/>
        <w:rPr/>
      </w:pPr>
      <w:r>
        <w:rPr>
          <w:spacing w:val="8"/>
        </w:rPr>
        <w:t>①研究成果存在政治问题或学术不端行为；</w:t>
      </w:r>
    </w:p>
    <w:p>
      <w:pPr>
        <w:pStyle w:val="BodyText"/>
        <w:ind w:left="646"/>
        <w:spacing w:before="189" w:line="223" w:lineRule="auto"/>
        <w:rPr/>
      </w:pPr>
      <w:r>
        <w:rPr>
          <w:spacing w:val="5"/>
        </w:rPr>
        <w:t>②擅自变更课题负责人或课题研究方向；</w:t>
      </w:r>
    </w:p>
    <w:p>
      <w:pPr>
        <w:pStyle w:val="BodyText"/>
        <w:ind w:left="646"/>
        <w:spacing w:before="185" w:line="221" w:lineRule="auto"/>
        <w:rPr/>
      </w:pPr>
      <w:r>
        <w:rPr>
          <w:spacing w:val="2"/>
        </w:rPr>
        <w:t>③逾期不提交结题申请；</w:t>
      </w:r>
    </w:p>
    <w:p>
      <w:pPr>
        <w:pStyle w:val="BodyText"/>
        <w:ind w:left="646"/>
        <w:spacing w:before="190" w:line="223" w:lineRule="auto"/>
        <w:rPr/>
      </w:pPr>
      <w:r>
        <w:rPr>
          <w:spacing w:val="6"/>
        </w:rPr>
        <w:t>④研究成果未通过结题验收。</w:t>
      </w:r>
    </w:p>
    <w:p>
      <w:pPr>
        <w:spacing w:line="223" w:lineRule="auto"/>
        <w:sectPr>
          <w:footerReference w:type="default" r:id="rId6"/>
          <w:pgSz w:w="11907" w:h="16839"/>
          <w:pgMar w:top="1431" w:right="1430" w:bottom="1142" w:left="1535" w:header="0" w:footer="830" w:gutter="0"/>
        </w:sectPr>
        <w:rPr/>
      </w:pPr>
    </w:p>
    <w:p>
      <w:pPr>
        <w:ind w:left="634"/>
        <w:spacing w:before="217" w:line="224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3"/>
        </w:rPr>
        <w:t>五、联系信息</w:t>
      </w:r>
    </w:p>
    <w:p>
      <w:pPr>
        <w:pStyle w:val="BodyText"/>
        <w:spacing w:before="181" w:line="224" w:lineRule="auto"/>
        <w:jc w:val="right"/>
        <w:rPr/>
      </w:pPr>
      <w:r>
        <w:rPr>
          <w:spacing w:val="2"/>
        </w:rPr>
        <w:t>联系地址：上海市虹口区大连西路</w:t>
      </w:r>
      <w:r>
        <w:rPr>
          <w:spacing w:val="-41"/>
        </w:rPr>
        <w:t xml:space="preserve"> </w:t>
      </w:r>
      <w:r>
        <w:rPr>
          <w:spacing w:val="2"/>
        </w:rPr>
        <w:t>558</w:t>
      </w:r>
      <w:r>
        <w:rPr>
          <w:spacing w:val="-45"/>
        </w:rPr>
        <w:t xml:space="preserve"> </w:t>
      </w:r>
      <w:r>
        <w:rPr>
          <w:spacing w:val="2"/>
        </w:rPr>
        <w:t>号外教社项目管理办</w:t>
      </w:r>
    </w:p>
    <w:p>
      <w:pPr>
        <w:pStyle w:val="BodyText"/>
        <w:spacing w:before="185" w:line="223" w:lineRule="auto"/>
        <w:rPr/>
      </w:pPr>
      <w:r>
        <w:rPr>
          <w:spacing w:val="7"/>
        </w:rPr>
        <w:t>公室邮编：200083</w:t>
      </w:r>
      <w:r>
        <w:rPr>
          <w:spacing w:val="7"/>
        </w:rPr>
        <w:t xml:space="preserve"> </w:t>
      </w:r>
      <w:r>
        <w:rPr>
          <w:spacing w:val="7"/>
        </w:rPr>
        <w:t>快递备注：外语教指委课题</w:t>
      </w:r>
    </w:p>
    <w:p>
      <w:pPr>
        <w:pStyle w:val="BodyText"/>
        <w:ind w:left="630"/>
        <w:spacing w:before="184" w:line="224" w:lineRule="auto"/>
        <w:rPr/>
      </w:pPr>
      <w:r>
        <w:rPr>
          <w:spacing w:val="6"/>
        </w:rPr>
        <w:t>联系人：叶宁</w:t>
      </w:r>
      <w:r>
        <w:rPr>
          <w:spacing w:val="25"/>
        </w:rPr>
        <w:t xml:space="preserve">   </w:t>
      </w:r>
      <w:r>
        <w:rPr>
          <w:spacing w:val="6"/>
        </w:rPr>
        <w:t>电话</w:t>
      </w:r>
      <w:r>
        <w:rPr>
          <w:spacing w:val="-17"/>
        </w:rPr>
        <w:t>：（</w:t>
      </w:r>
      <w:r>
        <w:rPr>
          <w:spacing w:val="6"/>
        </w:rPr>
        <w:t>021）65366698</w:t>
      </w:r>
    </w:p>
    <w:p>
      <w:pPr>
        <w:pStyle w:val="BodyText"/>
        <w:ind w:left="669"/>
        <w:spacing w:before="185" w:line="217" w:lineRule="auto"/>
        <w:rPr/>
      </w:pPr>
      <w:r>
        <w:rPr>
          <w:spacing w:val="7"/>
        </w:rPr>
        <w:t>电子邮箱：</w:t>
      </w:r>
      <w:hyperlink w:history="true" r:id="rId8">
        <w:r>
          <w:rPr/>
          <w:t>yn</w:t>
        </w:r>
        <w:r>
          <w:rPr>
            <w:spacing w:val="7"/>
          </w:rPr>
          <w:t>@</w:t>
        </w:r>
        <w:r>
          <w:rPr/>
          <w:t>sflep</w:t>
        </w:r>
        <w:r>
          <w:rPr>
            <w:spacing w:val="7"/>
          </w:rPr>
          <w:t>.</w:t>
        </w:r>
        <w:r>
          <w:rPr/>
          <w:t>com</w:t>
        </w:r>
      </w:hyperlink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right="1"/>
        <w:spacing w:before="101" w:line="223" w:lineRule="auto"/>
        <w:jc w:val="right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3439476</wp:posOffset>
            </wp:positionH>
            <wp:positionV relativeFrom="paragraph">
              <wp:posOffset>-588345</wp:posOffset>
            </wp:positionV>
            <wp:extent cx="1666074" cy="1666074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66074" cy="1666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</w:rPr>
        <w:t>教育部职业院校外语类专业教学指导委员会</w:t>
      </w:r>
    </w:p>
    <w:p>
      <w:pPr>
        <w:pStyle w:val="BodyText"/>
        <w:spacing w:before="184" w:line="224" w:lineRule="auto"/>
        <w:jc w:val="right"/>
        <w:rPr/>
      </w:pPr>
      <w:r>
        <w:rPr>
          <w:spacing w:val="-14"/>
        </w:rPr>
        <w:t>2025</w:t>
      </w:r>
      <w:r>
        <w:rPr>
          <w:spacing w:val="-82"/>
        </w:rPr>
        <w:t xml:space="preserve"> </w:t>
      </w:r>
      <w:r>
        <w:rPr>
          <w:spacing w:val="-14"/>
        </w:rPr>
        <w:t>年</w:t>
      </w:r>
      <w:r>
        <w:rPr>
          <w:spacing w:val="24"/>
        </w:rPr>
        <w:t xml:space="preserve"> </w:t>
      </w:r>
      <w:r>
        <w:rPr>
          <w:spacing w:val="-14"/>
        </w:rPr>
        <w:t>3</w:t>
      </w:r>
      <w:r>
        <w:rPr>
          <w:spacing w:val="41"/>
        </w:rPr>
        <w:t xml:space="preserve"> </w:t>
      </w:r>
      <w:r>
        <w:rPr>
          <w:spacing w:val="-14"/>
        </w:rPr>
        <w:t>月</w:t>
      </w:r>
      <w:r>
        <w:rPr>
          <w:spacing w:val="23"/>
        </w:rPr>
        <w:t xml:space="preserve"> </w:t>
      </w:r>
      <w:r>
        <w:rPr>
          <w:spacing w:val="-14"/>
        </w:rPr>
        <w:t>31</w:t>
      </w:r>
      <w:r>
        <w:rPr>
          <w:spacing w:val="90"/>
        </w:rPr>
        <w:t xml:space="preserve"> </w:t>
      </w:r>
      <w:r>
        <w:rPr>
          <w:spacing w:val="-14"/>
        </w:rPr>
        <w:t>日</w:t>
      </w:r>
    </w:p>
    <w:sectPr>
      <w:footerReference w:type="default" r:id="rId7"/>
      <w:pgSz w:w="11907" w:h="16839"/>
      <w:pgMar w:top="1431" w:right="1531" w:bottom="1142" w:left="1559" w:header="0" w:footer="83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40"/>
      <w:spacing w:before="1" w:line="227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5"/>
      </w:rPr>
      <w:t>-</w:t>
    </w:r>
    <w:r>
      <w:rPr>
        <w:rFonts w:ascii="Times New Roman" w:hAnsi="Times New Roman" w:eastAsia="Times New Roman" w:cs="Times New Roman"/>
        <w:sz w:val="28"/>
        <w:szCs w:val="28"/>
        <w:spacing w:val="33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5"/>
      </w:rPr>
      <w:t>1</w:t>
    </w:r>
    <w:r>
      <w:rPr>
        <w:rFonts w:ascii="Times New Roman" w:hAnsi="Times New Roman" w:eastAsia="Times New Roman" w:cs="Times New Roman"/>
        <w:sz w:val="28"/>
        <w:szCs w:val="28"/>
        <w:spacing w:val="1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5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2"/>
      <w:spacing w:before="1" w:line="227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6"/>
      </w:rPr>
      <w:t>-</w:t>
    </w:r>
    <w:r>
      <w:rPr>
        <w:rFonts w:ascii="Times New Roman" w:hAnsi="Times New Roman" w:eastAsia="Times New Roman" w:cs="Times New Roman"/>
        <w:sz w:val="28"/>
        <w:szCs w:val="28"/>
        <w:spacing w:val="6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6"/>
      </w:rPr>
      <w:t>2</w:t>
    </w:r>
    <w:r>
      <w:rPr>
        <w:rFonts w:ascii="Times New Roman" w:hAnsi="Times New Roman" w:eastAsia="Times New Roman" w:cs="Times New Roman"/>
        <w:sz w:val="28"/>
        <w:szCs w:val="28"/>
        <w:spacing w:val="1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6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0"/>
      <w:spacing w:line="225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8"/>
      </w:rPr>
      <w:t>-</w:t>
    </w:r>
    <w:r>
      <w:rPr>
        <w:rFonts w:ascii="Times New Roman" w:hAnsi="Times New Roman" w:eastAsia="Times New Roman" w:cs="Times New Roman"/>
        <w:sz w:val="28"/>
        <w:szCs w:val="28"/>
        <w:spacing w:val="1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8"/>
      </w:rPr>
      <w:t>3</w:t>
    </w:r>
    <w:r>
      <w:rPr>
        <w:rFonts w:ascii="Times New Roman" w:hAnsi="Times New Roman" w:eastAsia="Times New Roman" w:cs="Times New Roman"/>
        <w:sz w:val="28"/>
        <w:szCs w:val="28"/>
        <w:spacing w:val="1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8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2"/>
      <w:spacing w:before="1" w:line="227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6"/>
      </w:rPr>
      <w:t>-</w:t>
    </w:r>
    <w:r>
      <w:rPr>
        <w:rFonts w:ascii="Times New Roman" w:hAnsi="Times New Roman" w:eastAsia="Times New Roman" w:cs="Times New Roman"/>
        <w:sz w:val="28"/>
        <w:szCs w:val="28"/>
        <w:spacing w:val="6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6"/>
      </w:rPr>
      <w:t>4</w:t>
    </w:r>
    <w:r>
      <w:rPr>
        <w:rFonts w:ascii="Times New Roman" w:hAnsi="Times New Roman" w:eastAsia="Times New Roman" w:cs="Times New Roman"/>
        <w:sz w:val="28"/>
        <w:szCs w:val="28"/>
        <w:spacing w:val="1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98"/>
      <w:spacing w:line="225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9"/>
      </w:rPr>
      <w:t>-</w:t>
    </w:r>
    <w:r>
      <w:rPr>
        <w:rFonts w:ascii="Times New Roman" w:hAnsi="Times New Roman" w:eastAsia="Times New Roman" w:cs="Times New Roman"/>
        <w:sz w:val="28"/>
        <w:szCs w:val="28"/>
        <w:spacing w:val="15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9"/>
      </w:rPr>
      <w:t>5</w:t>
    </w:r>
    <w:r>
      <w:rPr>
        <w:rFonts w:ascii="Times New Roman" w:hAnsi="Times New Roman" w:eastAsia="Times New Roman" w:cs="Times New Roman"/>
        <w:sz w:val="28"/>
        <w:szCs w:val="28"/>
        <w:spacing w:val="1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9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74"/>
      <w:spacing w:line="225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8"/>
      </w:rPr>
      <w:t>-</w:t>
    </w:r>
    <w:r>
      <w:rPr>
        <w:rFonts w:ascii="Times New Roman" w:hAnsi="Times New Roman" w:eastAsia="Times New Roman" w:cs="Times New Roman"/>
        <w:sz w:val="28"/>
        <w:szCs w:val="28"/>
        <w:spacing w:val="1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8"/>
      </w:rPr>
      <w:t>6</w:t>
    </w:r>
    <w:r>
      <w:rPr>
        <w:rFonts w:ascii="Times New Roman" w:hAnsi="Times New Roman" w:eastAsia="Times New Roman" w:cs="Times New Roman"/>
        <w:sz w:val="28"/>
        <w:szCs w:val="28"/>
        <w:spacing w:val="1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8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hyperlink" Target="yn@sflep.com" TargetMode="Externa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hyperlink" Target="kyxm.sflep.com" TargetMode="Externa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2" Type="http://schemas.openxmlformats.org/officeDocument/2006/relationships/fontTable" Target="fontTable.xml"/><Relationship Id="rId11" Type="http://schemas.openxmlformats.org/officeDocument/2006/relationships/styles" Target="styles.xml"/><Relationship Id="rId10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2021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关于召开2006-2010教育部大学外语教学指导委员会成立大会的通知</dc:title>
  <dc:creator>hxw</dc:creator>
  <dcterms:created xsi:type="dcterms:W3CDTF">2025-04-17T14:25:17Z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2026-03-31T18:25:59</vt:filetime>
  </property>
</Properties>
</file>